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B439" w14:textId="6BD679DD" w:rsidR="00840BD5" w:rsidRDefault="00840BD5" w:rsidP="00D20FA1">
      <w:pPr>
        <w:jc w:val="center"/>
        <w:rPr>
          <w:b/>
          <w:bCs/>
          <w:sz w:val="32"/>
          <w:szCs w:val="32"/>
          <w:lang w:val="en-CA"/>
        </w:rPr>
      </w:pPr>
      <w:r>
        <w:rPr>
          <w:b/>
          <w:bCs/>
          <w:noProof/>
          <w:sz w:val="32"/>
          <w:szCs w:val="32"/>
          <w:lang w:val="en-CA"/>
        </w:rPr>
        <w:drawing>
          <wp:inline distT="0" distB="0" distL="0" distR="0" wp14:anchorId="1E0DFD29" wp14:editId="4DA334E5">
            <wp:extent cx="3254003" cy="930762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140" cy="9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32703" w14:textId="09311E3F" w:rsidR="00840BD5" w:rsidRDefault="00840BD5" w:rsidP="00D20FA1">
      <w:pPr>
        <w:jc w:val="center"/>
        <w:rPr>
          <w:b/>
          <w:bCs/>
          <w:sz w:val="32"/>
          <w:szCs w:val="32"/>
          <w:lang w:val="en-CA"/>
        </w:rPr>
      </w:pPr>
    </w:p>
    <w:p w14:paraId="6F5EF0C8" w14:textId="77777777" w:rsidR="00AC0D53" w:rsidRDefault="00AC0D53" w:rsidP="000E38F2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</w:pPr>
    </w:p>
    <w:p w14:paraId="7371105F" w14:textId="7AD49647" w:rsidR="00AC0D53" w:rsidRDefault="00AC0D53" w:rsidP="000E38F2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</w:pPr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TORONTO – November 16, </w:t>
      </w:r>
      <w:proofErr w:type="gramStart"/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2021</w:t>
      </w:r>
      <w:proofErr w:type="gramEnd"/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The Canadian Association of Managing General Agents (CAMGA) today unveiled a regulatory standard setting regime that will codify minimum business operating elements that MGAs in Canada </w:t>
      </w:r>
      <w:r w:rsidR="00BB38CD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are required to meet</w:t>
      </w:r>
      <w:r w:rsidR="00E0191B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.</w:t>
      </w:r>
      <w:r w:rsidR="00BB38CD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</w:t>
      </w:r>
    </w:p>
    <w:p w14:paraId="31D4E285" w14:textId="4F02E06E" w:rsidR="00AC0D53" w:rsidRDefault="00AC0D53" w:rsidP="000E38F2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</w:pPr>
    </w:p>
    <w:p w14:paraId="3C68CD2E" w14:textId="6ACABDB0" w:rsidR="00AC0D53" w:rsidRDefault="00AC0D53" w:rsidP="000E38F2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</w:pPr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“With the</w:t>
      </w:r>
      <w:r w:rsidR="0050362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voluntary adoption of this undertaking</w:t>
      </w:r>
      <w:r w:rsidR="00625A0D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</w:t>
      </w:r>
      <w:r w:rsidR="0050362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by our members</w:t>
      </w:r>
      <w:r w:rsidR="00625A0D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,</w:t>
      </w:r>
      <w:r w:rsidR="0050362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the brokerages and insurers that we deal with can be assured that these basic best practices are adopted and adhered to by our member </w:t>
      </w:r>
      <w:proofErr w:type="gramStart"/>
      <w:r w:rsidR="0050362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MGAs </w:t>
      </w:r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”</w:t>
      </w:r>
      <w:proofErr w:type="gramEnd"/>
      <w:r w:rsidR="00E0191B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,</w:t>
      </w:r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said Steve </w:t>
      </w:r>
      <w:proofErr w:type="spellStart"/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Masnyk</w:t>
      </w:r>
      <w:proofErr w:type="spellEnd"/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, Managing Director of CAMGA.</w:t>
      </w:r>
      <w:r w:rsidR="0050362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</w:t>
      </w:r>
      <w:proofErr w:type="spellStart"/>
      <w:r w:rsidR="0050362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Masnyk</w:t>
      </w:r>
      <w:proofErr w:type="spellEnd"/>
      <w:r w:rsidR="0050362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went on to </w:t>
      </w:r>
      <w:proofErr w:type="gramStart"/>
      <w:r w:rsidR="0050362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say</w:t>
      </w:r>
      <w:proofErr w:type="gramEnd"/>
      <w:r w:rsidR="0050362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“There has been too much noise in the industry in regards to the absence of standard operating procedures and transparency as it relates to MGA’s and this will go a long way to address those concerns</w:t>
      </w:r>
      <w:r w:rsidR="00625A0D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”</w:t>
      </w:r>
      <w:r w:rsidR="0050362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.</w:t>
      </w:r>
    </w:p>
    <w:p w14:paraId="7C3E56F1" w14:textId="7E9A4C8A" w:rsidR="00CE2520" w:rsidRDefault="00CE2520" w:rsidP="000E38F2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</w:pPr>
    </w:p>
    <w:p w14:paraId="0077470B" w14:textId="1D179DE3" w:rsidR="00CE2520" w:rsidRDefault="00CE2520" w:rsidP="000E38F2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</w:pPr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The standards announced today a) ensure that premium monies are managed responsibly, b) </w:t>
      </w:r>
      <w:proofErr w:type="gramStart"/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mandate  MGAs</w:t>
      </w:r>
      <w:proofErr w:type="gramEnd"/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meet and exceed professional indemnity coverages and c) provide explicit transparency on the carriers that support their underwriting activities. These three pillars will provide assurances </w:t>
      </w:r>
      <w:r w:rsidR="00625A0D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to </w:t>
      </w:r>
      <w:r w:rsidR="0050362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those we deal with</w:t>
      </w:r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of robust </w:t>
      </w:r>
      <w:r w:rsidR="00E040AC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protections </w:t>
      </w:r>
      <w:r w:rsidR="00E0191B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surrounding</w:t>
      </w:r>
      <w:r w:rsidR="00E040AC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the </w:t>
      </w:r>
      <w:r w:rsidR="00E0191B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delegated </w:t>
      </w:r>
      <w:r w:rsidR="00E040AC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underwriting process.</w:t>
      </w:r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 </w:t>
      </w:r>
    </w:p>
    <w:p w14:paraId="4A5AEE4B" w14:textId="77777777" w:rsidR="000251FF" w:rsidRDefault="000251FF" w:rsidP="000E38F2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</w:pPr>
    </w:p>
    <w:p w14:paraId="7876FF95" w14:textId="5C0DC9D1" w:rsidR="000251FF" w:rsidRDefault="000251FF" w:rsidP="000E38F2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</w:pPr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“These standards are </w:t>
      </w:r>
      <w:r w:rsidR="00CD6AE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i</w:t>
      </w:r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n addition to the strict oversight brought by our carrier partners in the underwriting services we provide.” added </w:t>
      </w:r>
      <w:proofErr w:type="spellStart"/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MaryKate</w:t>
      </w:r>
      <w:proofErr w:type="spellEnd"/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Townsend, President of CAMGA. “the broker and carrier partners we trade with will now be aware of the </w:t>
      </w:r>
      <w:r w:rsidR="00CD6AE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standards</w:t>
      </w:r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CAMGA member MGA</w:t>
      </w:r>
      <w:r w:rsidR="00CD6AEA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s follow</w:t>
      </w:r>
      <w:r w:rsidR="00BB38CD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and </w:t>
      </w:r>
      <w:r w:rsidR="00AE392D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be </w:t>
      </w:r>
      <w:r w:rsidR="00BB38CD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confident that this framework </w:t>
      </w:r>
      <w:r w:rsidR="009543E8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adds even more professionalism into the underwriting activities of </w:t>
      </w:r>
      <w:proofErr w:type="gramStart"/>
      <w:r w:rsidR="009543E8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MGAs </w:t>
      </w:r>
      <w:r w:rsidR="0079229B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.</w:t>
      </w:r>
      <w:proofErr w:type="gramEnd"/>
      <w:r w:rsidR="0079229B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” </w:t>
      </w:r>
      <w:r w:rsidR="009543E8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a</w:t>
      </w:r>
      <w:r w:rsidR="0079229B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>dded Townsend.</w:t>
      </w:r>
      <w: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  <w:t xml:space="preserve"> </w:t>
      </w:r>
    </w:p>
    <w:p w14:paraId="27984011" w14:textId="77777777" w:rsidR="00A13083" w:rsidRDefault="00A13083" w:rsidP="000E38F2">
      <w:pPr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  <w:lang w:val="en-CA"/>
        </w:rPr>
      </w:pPr>
    </w:p>
    <w:p w14:paraId="520A972D" w14:textId="066E65D6" w:rsidR="000E38F2" w:rsidRPr="000E38F2" w:rsidRDefault="000E38F2" w:rsidP="000E38F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</w:pPr>
      <w:r w:rsidRPr="000E38F2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t>----------------------------------</w:t>
      </w:r>
    </w:p>
    <w:p w14:paraId="7B566FD0" w14:textId="7B80A502" w:rsidR="000E38F2" w:rsidRPr="000E38F2" w:rsidRDefault="000E38F2" w:rsidP="000E38F2">
      <w:pPr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</w:pPr>
      <w:r w:rsidRPr="000E38F2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lang w:val="en-CA"/>
        </w:rPr>
        <w:t>UNDERTAKING</w:t>
      </w:r>
      <w:r w:rsidRPr="000E38F2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t> </w:t>
      </w:r>
      <w:r w:rsidRPr="000E38F2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br/>
      </w:r>
      <w:r w:rsidRPr="000E38F2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>-To agree to be licensed as an insurance intermediary in those jurisdictions that mandate it</w:t>
      </w:r>
      <w:r w:rsidRPr="000E38F2">
        <w:rPr>
          <w:rFonts w:ascii="Helvetica Neue" w:eastAsia="Times New Roman" w:hAnsi="Helvetica Neue" w:cs="Times New Roman"/>
          <w:color w:val="FF0000"/>
          <w:sz w:val="20"/>
          <w:szCs w:val="20"/>
          <w:lang w:val="en-CA"/>
        </w:rPr>
        <w:t>  </w:t>
      </w:r>
      <w:r w:rsidRPr="000E38F2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br/>
      </w:r>
      <w:r w:rsidRPr="000E38F2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>-To carry errors &amp; omissions insurance that meets or exceeds the mandated minimum standards in every jurisdiction in which the member carries on business, as applicable to insurance intermediaries </w:t>
      </w:r>
      <w:r w:rsidRPr="000E38F2">
        <w:rPr>
          <w:rFonts w:ascii="Helvetica Neue" w:eastAsia="Times New Roman" w:hAnsi="Helvetica Neue" w:cs="Times New Roman"/>
          <w:color w:val="FF0000"/>
          <w:sz w:val="20"/>
          <w:szCs w:val="20"/>
          <w:lang w:val="en-CA"/>
        </w:rPr>
        <w:t>  </w:t>
      </w:r>
      <w:r w:rsidRPr="000E38F2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br/>
      </w:r>
      <w:r w:rsidRPr="000E38F2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>-To carry a fidelity bond in those jurisdictions where it is mandated</w:t>
      </w:r>
      <w:r w:rsidRPr="000E38F2">
        <w:rPr>
          <w:rFonts w:ascii="Helvetica Neue" w:eastAsia="Times New Roman" w:hAnsi="Helvetica Neue" w:cs="Times New Roman"/>
          <w:color w:val="FF0000"/>
          <w:sz w:val="20"/>
          <w:szCs w:val="20"/>
          <w:lang w:val="en-CA"/>
        </w:rPr>
        <w:t>   </w:t>
      </w:r>
      <w:r w:rsidRPr="000E38F2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br/>
      </w:r>
      <w:r w:rsidRPr="000E38F2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 xml:space="preserve">-To maintain a properly constituted trust account for the deposit of insurance premiums received from any source in </w:t>
      </w:r>
      <w:r w:rsidR="00D11AA3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>those</w:t>
      </w:r>
      <w:r w:rsidRPr="000E38F2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 xml:space="preserve"> jurisdiction</w:t>
      </w:r>
      <w:r w:rsidR="00D11AA3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>s where it is mandated</w:t>
      </w:r>
      <w:r w:rsidRPr="000E38F2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 xml:space="preserve"> </w:t>
      </w:r>
    </w:p>
    <w:p w14:paraId="0568A8BF" w14:textId="77777777" w:rsidR="00146196" w:rsidRDefault="000E38F2" w:rsidP="000E38F2">
      <w:pPr>
        <w:spacing w:after="240"/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</w:pPr>
      <w:r w:rsidRPr="000E38F2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>-To ensure that the MGA obtains from the broker/agent a copy of the required Consent &amp; Acknowledgement of Risk Form for all insurance placed with a non-licensed carrier signed by the consumer prior to binding the risk.</w:t>
      </w:r>
      <w:r w:rsidRPr="000E38F2">
        <w:rPr>
          <w:rFonts w:ascii="Helvetica Neue" w:eastAsia="Times New Roman" w:hAnsi="Helvetica Neue" w:cs="Times New Roman"/>
          <w:color w:val="FF0000"/>
          <w:sz w:val="20"/>
          <w:szCs w:val="20"/>
          <w:lang w:val="en-CA"/>
        </w:rPr>
        <w:t>  </w:t>
      </w:r>
      <w:r w:rsidRPr="000E38F2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br/>
      </w:r>
      <w:r w:rsidRPr="000E38F2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>-To endeavour to notify the broker of all non-renewals a minimum of forty-five (45) days prior to the renewal date</w:t>
      </w:r>
    </w:p>
    <w:p w14:paraId="46FCACD0" w14:textId="2A687BF8" w:rsidR="000E38F2" w:rsidRPr="009543E8" w:rsidRDefault="009543E8" w:rsidP="000E38F2">
      <w:pPr>
        <w:spacing w:after="240"/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</w:pPr>
      <w:r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>-</w:t>
      </w:r>
      <w:r w:rsidR="000E38F2" w:rsidRPr="000E38F2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>To explicitly inform the broker at the quoting stage of the carrier(s) relied upon for the quote</w:t>
      </w:r>
      <w:r w:rsidR="000E38F2" w:rsidRPr="000E38F2">
        <w:rPr>
          <w:rFonts w:ascii="Helvetica Neue" w:eastAsia="Times New Roman" w:hAnsi="Helvetica Neue" w:cs="Times New Roman"/>
          <w:color w:val="FF0000"/>
          <w:sz w:val="20"/>
          <w:szCs w:val="20"/>
          <w:lang w:val="en-CA"/>
        </w:rPr>
        <w:t>  </w:t>
      </w:r>
      <w:r w:rsidR="000E38F2" w:rsidRPr="000E38F2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br/>
      </w:r>
      <w:r w:rsidR="000E38F2" w:rsidRPr="000E38F2">
        <w:rPr>
          <w:rFonts w:ascii="Helvetica Neue" w:eastAsia="Times New Roman" w:hAnsi="Helvetica Neue" w:cs="Times New Roman"/>
          <w:i/>
          <w:iCs/>
          <w:color w:val="FF0000"/>
          <w:sz w:val="20"/>
          <w:szCs w:val="20"/>
          <w:lang w:val="en-CA"/>
        </w:rPr>
        <w:t>-To notify CAMGA within thirty (30) days of the breach of any of the foregoing undertakings in every jurisdiction in which the member carries on business</w:t>
      </w:r>
      <w:r w:rsidR="000E38F2" w:rsidRPr="000E38F2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t> </w:t>
      </w:r>
      <w:r w:rsidR="000E38F2" w:rsidRPr="000E38F2">
        <w:rPr>
          <w:rFonts w:ascii="Helvetica Neue" w:eastAsia="Times New Roman" w:hAnsi="Helvetica Neue" w:cs="Times New Roman"/>
          <w:color w:val="000000"/>
          <w:sz w:val="20"/>
          <w:szCs w:val="20"/>
          <w:lang w:val="en-CA"/>
        </w:rPr>
        <w:br/>
      </w:r>
    </w:p>
    <w:p w14:paraId="5B797C25" w14:textId="2564F5D8" w:rsidR="000E38F2" w:rsidRDefault="00D11AA3" w:rsidP="000610EC">
      <w:pPr>
        <w:rPr>
          <w:lang w:val="en-CA"/>
        </w:rPr>
      </w:pPr>
      <w:r>
        <w:rPr>
          <w:lang w:val="en-CA"/>
        </w:rPr>
        <w:t>For further information please contact:</w:t>
      </w:r>
    </w:p>
    <w:p w14:paraId="2D3822C1" w14:textId="4869ABC5" w:rsidR="00D11AA3" w:rsidRDefault="00D11AA3" w:rsidP="000610EC">
      <w:pPr>
        <w:rPr>
          <w:lang w:val="en-CA"/>
        </w:rPr>
      </w:pPr>
      <w:r>
        <w:rPr>
          <w:lang w:val="en-CA"/>
        </w:rPr>
        <w:t xml:space="preserve">Steve </w:t>
      </w:r>
      <w:proofErr w:type="spellStart"/>
      <w:r>
        <w:rPr>
          <w:lang w:val="en-CA"/>
        </w:rPr>
        <w:t>Masnyk</w:t>
      </w:r>
      <w:proofErr w:type="spellEnd"/>
      <w:r>
        <w:rPr>
          <w:lang w:val="en-CA"/>
        </w:rPr>
        <w:t>, Managing Director</w:t>
      </w:r>
    </w:p>
    <w:p w14:paraId="18EF7006" w14:textId="3B0CE857" w:rsidR="00D11AA3" w:rsidRDefault="00146196" w:rsidP="000610EC">
      <w:pPr>
        <w:rPr>
          <w:lang w:val="en-CA"/>
        </w:rPr>
      </w:pPr>
      <w:hyperlink r:id="rId6" w:history="1">
        <w:r w:rsidR="00D11AA3" w:rsidRPr="00883360">
          <w:rPr>
            <w:rStyle w:val="Hyperlink"/>
            <w:lang w:val="en-CA"/>
          </w:rPr>
          <w:t>steve.masnyk@camga.ca</w:t>
        </w:r>
      </w:hyperlink>
    </w:p>
    <w:p w14:paraId="5F03132B" w14:textId="15C3F23E" w:rsidR="00D11AA3" w:rsidRPr="000610EC" w:rsidRDefault="00D11AA3" w:rsidP="000610EC">
      <w:pPr>
        <w:rPr>
          <w:lang w:val="en-CA"/>
        </w:rPr>
      </w:pPr>
      <w:r>
        <w:rPr>
          <w:lang w:val="en-CA"/>
        </w:rPr>
        <w:t>416-903-0478</w:t>
      </w:r>
    </w:p>
    <w:sectPr w:rsidR="00D11AA3" w:rsidRPr="000610EC" w:rsidSect="00883D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38D"/>
    <w:multiLevelType w:val="hybridMultilevel"/>
    <w:tmpl w:val="468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74CB"/>
    <w:multiLevelType w:val="hybridMultilevel"/>
    <w:tmpl w:val="5F48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A1"/>
    <w:rsid w:val="00000F05"/>
    <w:rsid w:val="000204E7"/>
    <w:rsid w:val="000226FE"/>
    <w:rsid w:val="000251FF"/>
    <w:rsid w:val="000610EC"/>
    <w:rsid w:val="000A3C3E"/>
    <w:rsid w:val="000E38F2"/>
    <w:rsid w:val="00146196"/>
    <w:rsid w:val="00197DD3"/>
    <w:rsid w:val="001B2619"/>
    <w:rsid w:val="001D3694"/>
    <w:rsid w:val="002A166D"/>
    <w:rsid w:val="002F37DD"/>
    <w:rsid w:val="00315826"/>
    <w:rsid w:val="0034318B"/>
    <w:rsid w:val="0039328C"/>
    <w:rsid w:val="003D196E"/>
    <w:rsid w:val="004005E3"/>
    <w:rsid w:val="0047214C"/>
    <w:rsid w:val="004B0885"/>
    <w:rsid w:val="0050362A"/>
    <w:rsid w:val="0051396A"/>
    <w:rsid w:val="0060158B"/>
    <w:rsid w:val="00625A0D"/>
    <w:rsid w:val="006541CB"/>
    <w:rsid w:val="00670EEC"/>
    <w:rsid w:val="006D7A1A"/>
    <w:rsid w:val="0079229B"/>
    <w:rsid w:val="007B62F7"/>
    <w:rsid w:val="00802945"/>
    <w:rsid w:val="00840BD5"/>
    <w:rsid w:val="008713D8"/>
    <w:rsid w:val="00883D0B"/>
    <w:rsid w:val="008F6A05"/>
    <w:rsid w:val="00926B10"/>
    <w:rsid w:val="0093679D"/>
    <w:rsid w:val="00941115"/>
    <w:rsid w:val="00947880"/>
    <w:rsid w:val="009543E8"/>
    <w:rsid w:val="009C56EE"/>
    <w:rsid w:val="00A13083"/>
    <w:rsid w:val="00AC0D53"/>
    <w:rsid w:val="00AE392D"/>
    <w:rsid w:val="00AE7559"/>
    <w:rsid w:val="00B04428"/>
    <w:rsid w:val="00B24ADD"/>
    <w:rsid w:val="00B6063D"/>
    <w:rsid w:val="00B62EBE"/>
    <w:rsid w:val="00BB38CD"/>
    <w:rsid w:val="00BC05F2"/>
    <w:rsid w:val="00C728CF"/>
    <w:rsid w:val="00C72B19"/>
    <w:rsid w:val="00CD6AEA"/>
    <w:rsid w:val="00CE2520"/>
    <w:rsid w:val="00D064D1"/>
    <w:rsid w:val="00D11AA3"/>
    <w:rsid w:val="00D20FA1"/>
    <w:rsid w:val="00DC662E"/>
    <w:rsid w:val="00E0191B"/>
    <w:rsid w:val="00E040AC"/>
    <w:rsid w:val="00E84E5E"/>
    <w:rsid w:val="00E950A1"/>
    <w:rsid w:val="00EF5680"/>
    <w:rsid w:val="00F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1F86"/>
  <w14:defaultImageDpi w14:val="32767"/>
  <w15:chartTrackingRefBased/>
  <w15:docId w15:val="{2B8247E1-D1AF-814D-9521-CB7C4AC9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A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8F2"/>
    <w:rPr>
      <w:i/>
      <w:iCs/>
    </w:rPr>
  </w:style>
  <w:style w:type="character" w:customStyle="1" w:styleId="apple-converted-space">
    <w:name w:val="apple-converted-space"/>
    <w:basedOn w:val="DefaultParagraphFont"/>
    <w:rsid w:val="000E38F2"/>
  </w:style>
  <w:style w:type="character" w:styleId="Strong">
    <w:name w:val="Strong"/>
    <w:basedOn w:val="DefaultParagraphFont"/>
    <w:uiPriority w:val="22"/>
    <w:qFormat/>
    <w:rsid w:val="000E38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0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5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392D"/>
  </w:style>
  <w:style w:type="character" w:styleId="Hyperlink">
    <w:name w:val="Hyperlink"/>
    <w:basedOn w:val="DefaultParagraphFont"/>
    <w:uiPriority w:val="99"/>
    <w:unhideWhenUsed/>
    <w:rsid w:val="00D11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1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masnyk@camg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Masnyk</dc:creator>
  <cp:keywords/>
  <dc:description/>
  <cp:lastModifiedBy>Steve Masnyk</cp:lastModifiedBy>
  <cp:revision>4</cp:revision>
  <dcterms:created xsi:type="dcterms:W3CDTF">2021-11-12T17:46:00Z</dcterms:created>
  <dcterms:modified xsi:type="dcterms:W3CDTF">2021-11-15T20:37:00Z</dcterms:modified>
</cp:coreProperties>
</file>